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158E8" w:rsidP="004F7D13" w14:paraId="01EADD68" w14:textId="1A5C0937">
      <w:pPr>
        <w:spacing w:line="480" w:lineRule="auto"/>
        <w:rPr>
          <w:rFonts w:ascii="Times New Roman" w:hAnsi="Times New Roman"/>
          <w:sz w:val="24"/>
        </w:rPr>
      </w:pPr>
      <w:r>
        <w:rPr>
          <w:rFonts w:ascii="Times New Roman" w:hAnsi="Times New Roman"/>
          <w:sz w:val="24"/>
        </w:rPr>
        <w:t xml:space="preserve">Student’s </w:t>
      </w:r>
      <w:bookmarkStart w:id="0" w:name="_GoBack"/>
      <w:bookmarkEnd w:id="0"/>
      <w:r>
        <w:rPr>
          <w:rFonts w:ascii="Times New Roman" w:hAnsi="Times New Roman"/>
          <w:sz w:val="24"/>
        </w:rPr>
        <w:t>Name</w:t>
      </w:r>
    </w:p>
    <w:p w:rsidR="009158E8" w:rsidP="004F7D13" w14:paraId="02ADD87F" w14:textId="4174BB67">
      <w:pPr>
        <w:spacing w:line="480" w:lineRule="auto"/>
        <w:rPr>
          <w:rFonts w:ascii="Times New Roman" w:hAnsi="Times New Roman"/>
          <w:sz w:val="24"/>
        </w:rPr>
      </w:pPr>
      <w:r>
        <w:rPr>
          <w:rFonts w:ascii="Times New Roman" w:hAnsi="Times New Roman"/>
          <w:sz w:val="24"/>
        </w:rPr>
        <w:t>Professor’s Name</w:t>
      </w:r>
    </w:p>
    <w:p w:rsidR="009158E8" w:rsidP="004F7D13" w14:paraId="36463DF4" w14:textId="76917737">
      <w:pPr>
        <w:spacing w:line="480" w:lineRule="auto"/>
        <w:rPr>
          <w:rFonts w:ascii="Times New Roman" w:hAnsi="Times New Roman"/>
          <w:sz w:val="24"/>
        </w:rPr>
      </w:pPr>
      <w:r>
        <w:rPr>
          <w:rFonts w:ascii="Times New Roman" w:hAnsi="Times New Roman"/>
          <w:sz w:val="24"/>
        </w:rPr>
        <w:t>Course Name</w:t>
      </w:r>
    </w:p>
    <w:p w:rsidR="009158E8" w:rsidP="004F7D13" w14:paraId="63A58158" w14:textId="459778F5">
      <w:pPr>
        <w:spacing w:line="480" w:lineRule="auto"/>
        <w:rPr>
          <w:rFonts w:ascii="Times New Roman" w:hAnsi="Times New Roman"/>
          <w:sz w:val="24"/>
        </w:rPr>
      </w:pPr>
      <w:r>
        <w:rPr>
          <w:rFonts w:ascii="Times New Roman" w:hAnsi="Times New Roman"/>
          <w:sz w:val="24"/>
        </w:rPr>
        <w:t>Date</w:t>
      </w:r>
    </w:p>
    <w:p w:rsidR="009158E8" w:rsidP="004F7D13" w14:paraId="5F083222" w14:textId="14D27300">
      <w:pPr>
        <w:spacing w:line="480" w:lineRule="auto"/>
        <w:jc w:val="center"/>
        <w:rPr>
          <w:rFonts w:ascii="Times New Roman" w:hAnsi="Times New Roman"/>
          <w:sz w:val="24"/>
        </w:rPr>
      </w:pPr>
      <w:r>
        <w:rPr>
          <w:rFonts w:ascii="Times New Roman" w:hAnsi="Times New Roman"/>
          <w:sz w:val="24"/>
        </w:rPr>
        <w:t>Summary of “</w:t>
      </w:r>
      <w:r w:rsidRPr="008247EF">
        <w:rPr>
          <w:rFonts w:ascii="Times New Roman" w:hAnsi="Times New Roman"/>
          <w:i/>
          <w:iCs/>
          <w:sz w:val="24"/>
        </w:rPr>
        <w:t>How to Brief Any Legal Issue</w:t>
      </w:r>
      <w:r>
        <w:rPr>
          <w:rFonts w:ascii="Times New Roman" w:hAnsi="Times New Roman"/>
          <w:i/>
          <w:iCs/>
          <w:sz w:val="24"/>
        </w:rPr>
        <w:t>”</w:t>
      </w:r>
      <w:r>
        <w:rPr>
          <w:rFonts w:ascii="Times New Roman" w:hAnsi="Times New Roman"/>
          <w:sz w:val="24"/>
        </w:rPr>
        <w:t xml:space="preserve"> Article.</w:t>
      </w:r>
    </w:p>
    <w:p w:rsidR="008247EF" w:rsidP="008247EF" w14:paraId="68927587" w14:textId="4526A4C0">
      <w:pPr>
        <w:spacing w:line="480" w:lineRule="auto"/>
        <w:rPr>
          <w:rFonts w:ascii="Times New Roman" w:hAnsi="Times New Roman"/>
          <w:sz w:val="24"/>
        </w:rPr>
      </w:pPr>
      <w:r>
        <w:rPr>
          <w:rFonts w:ascii="Times New Roman" w:hAnsi="Times New Roman"/>
          <w:sz w:val="24"/>
        </w:rPr>
        <w:tab/>
        <w:t>Based on the difficulties</w:t>
      </w:r>
      <w:r w:rsidR="002072C8">
        <w:rPr>
          <w:rFonts w:ascii="Times New Roman" w:hAnsi="Times New Roman"/>
          <w:sz w:val="24"/>
        </w:rPr>
        <w:t xml:space="preserve"> Law professors and Desnoyers </w:t>
      </w:r>
      <w:r>
        <w:rPr>
          <w:rFonts w:ascii="Times New Roman" w:hAnsi="Times New Roman"/>
          <w:sz w:val="24"/>
        </w:rPr>
        <w:t>experience in</w:t>
      </w:r>
      <w:r w:rsidR="002072C8">
        <w:rPr>
          <w:rFonts w:ascii="Times New Roman" w:hAnsi="Times New Roman"/>
          <w:sz w:val="24"/>
        </w:rPr>
        <w:t xml:space="preserve"> reading cases and statutes, authors Trautman et al. published a short article to guide on the </w:t>
      </w:r>
      <w:r w:rsidR="006F2F8B">
        <w:rPr>
          <w:rFonts w:ascii="Times New Roman" w:hAnsi="Times New Roman"/>
          <w:sz w:val="24"/>
        </w:rPr>
        <w:t>preceding.</w:t>
      </w:r>
      <w:r w:rsidR="00126C1E">
        <w:rPr>
          <w:rFonts w:ascii="Times New Roman" w:hAnsi="Times New Roman"/>
          <w:sz w:val="24"/>
        </w:rPr>
        <w:t xml:space="preserve"> The authors acknowledged </w:t>
      </w:r>
      <w:r w:rsidR="00983224">
        <w:rPr>
          <w:rFonts w:ascii="Times New Roman" w:hAnsi="Times New Roman"/>
          <w:sz w:val="24"/>
        </w:rPr>
        <w:t>C</w:t>
      </w:r>
      <w:r w:rsidR="00126C1E">
        <w:rPr>
          <w:rFonts w:ascii="Times New Roman" w:hAnsi="Times New Roman"/>
          <w:sz w:val="24"/>
        </w:rPr>
        <w:t>hief Justice John G. Roberts Jr's idea that a language is a central tool in trade</w:t>
      </w:r>
      <w:r w:rsidR="00C35E2C">
        <w:rPr>
          <w:rFonts w:ascii="Times New Roman" w:hAnsi="Times New Roman"/>
          <w:sz w:val="24"/>
        </w:rPr>
        <w:t xml:space="preserve"> and indeed, the building block to the law (Trautman et al.</w:t>
      </w:r>
      <w:r w:rsidR="00870C05">
        <w:rPr>
          <w:rFonts w:ascii="Times New Roman" w:hAnsi="Times New Roman"/>
          <w:sz w:val="24"/>
        </w:rPr>
        <w:t xml:space="preserve"> </w:t>
      </w:r>
      <w:r w:rsidR="00C35E2C">
        <w:rPr>
          <w:rFonts w:ascii="Times New Roman" w:hAnsi="Times New Roman"/>
          <w:sz w:val="24"/>
        </w:rPr>
        <w:t>1).</w:t>
      </w:r>
      <w:r w:rsidR="00065944">
        <w:rPr>
          <w:rFonts w:ascii="Times New Roman" w:hAnsi="Times New Roman"/>
          <w:sz w:val="24"/>
        </w:rPr>
        <w:t xml:space="preserve"> Moreover, the authors argued that </w:t>
      </w:r>
      <w:r w:rsidR="00F94C37">
        <w:rPr>
          <w:rFonts w:ascii="Times New Roman" w:hAnsi="Times New Roman"/>
          <w:sz w:val="24"/>
        </w:rPr>
        <w:t xml:space="preserve">understanding the scope and application of legal opinions will make </w:t>
      </w:r>
      <w:r w:rsidR="00065944">
        <w:rPr>
          <w:rFonts w:ascii="Times New Roman" w:hAnsi="Times New Roman"/>
          <w:sz w:val="24"/>
        </w:rPr>
        <w:t>both students and the public at large</w:t>
      </w:r>
      <w:r w:rsidR="00F94C37">
        <w:rPr>
          <w:rFonts w:ascii="Times New Roman" w:hAnsi="Times New Roman"/>
          <w:sz w:val="24"/>
        </w:rPr>
        <w:t xml:space="preserve"> better citizens (2). </w:t>
      </w:r>
      <w:r w:rsidR="00327985">
        <w:rPr>
          <w:rFonts w:ascii="Times New Roman" w:hAnsi="Times New Roman"/>
          <w:sz w:val="24"/>
        </w:rPr>
        <w:t>The short essay</w:t>
      </w:r>
      <w:r w:rsidR="000E4E27">
        <w:rPr>
          <w:rFonts w:ascii="Times New Roman" w:hAnsi="Times New Roman"/>
          <w:sz w:val="24"/>
        </w:rPr>
        <w:t xml:space="preserve">, therefore, </w:t>
      </w:r>
      <w:r w:rsidR="00327985">
        <w:rPr>
          <w:rFonts w:ascii="Times New Roman" w:hAnsi="Times New Roman"/>
          <w:sz w:val="24"/>
        </w:rPr>
        <w:t xml:space="preserve">was written </w:t>
      </w:r>
      <w:r w:rsidR="000E4E27">
        <w:rPr>
          <w:rFonts w:ascii="Times New Roman" w:hAnsi="Times New Roman"/>
          <w:sz w:val="24"/>
        </w:rPr>
        <w:t>with</w:t>
      </w:r>
      <w:r w:rsidR="00327985">
        <w:rPr>
          <w:rFonts w:ascii="Times New Roman" w:hAnsi="Times New Roman"/>
          <w:sz w:val="24"/>
        </w:rPr>
        <w:t xml:space="preserve"> a purpose to give an introductory guide, including </w:t>
      </w:r>
      <w:r w:rsidR="009A2B63">
        <w:rPr>
          <w:rFonts w:ascii="Times New Roman" w:hAnsi="Times New Roman"/>
          <w:sz w:val="24"/>
        </w:rPr>
        <w:t>constitutional law and business students</w:t>
      </w:r>
      <w:r w:rsidR="000E4E27">
        <w:rPr>
          <w:rFonts w:ascii="Times New Roman" w:hAnsi="Times New Roman"/>
          <w:sz w:val="24"/>
        </w:rPr>
        <w:t xml:space="preserve">, </w:t>
      </w:r>
      <w:r w:rsidR="00B3606E">
        <w:rPr>
          <w:rFonts w:ascii="Times New Roman" w:hAnsi="Times New Roman"/>
          <w:sz w:val="24"/>
        </w:rPr>
        <w:t>on how to brief any legal opinion.</w:t>
      </w:r>
      <w:r w:rsidR="000D7F60">
        <w:rPr>
          <w:rFonts w:ascii="Times New Roman" w:hAnsi="Times New Roman"/>
          <w:sz w:val="24"/>
        </w:rPr>
        <w:t xml:space="preserve"> That said, the article, as summarized below, </w:t>
      </w:r>
      <w:r w:rsidR="000E4E27">
        <w:rPr>
          <w:rFonts w:ascii="Times New Roman" w:hAnsi="Times New Roman"/>
          <w:sz w:val="24"/>
        </w:rPr>
        <w:t xml:space="preserve">primarily </w:t>
      </w:r>
      <w:r w:rsidR="000A2FD9">
        <w:rPr>
          <w:rFonts w:ascii="Times New Roman" w:hAnsi="Times New Roman"/>
          <w:sz w:val="24"/>
        </w:rPr>
        <w:t>provides basic</w:t>
      </w:r>
      <w:r w:rsidR="000D7F60">
        <w:rPr>
          <w:rFonts w:ascii="Times New Roman" w:hAnsi="Times New Roman"/>
          <w:sz w:val="24"/>
        </w:rPr>
        <w:t xml:space="preserve"> </w:t>
      </w:r>
      <w:r w:rsidR="000A2FD9">
        <w:rPr>
          <w:rFonts w:ascii="Times New Roman" w:hAnsi="Times New Roman"/>
          <w:sz w:val="24"/>
        </w:rPr>
        <w:t>analytical and</w:t>
      </w:r>
      <w:r w:rsidR="000D7F60">
        <w:rPr>
          <w:rFonts w:ascii="Times New Roman" w:hAnsi="Times New Roman"/>
          <w:sz w:val="24"/>
        </w:rPr>
        <w:t xml:space="preserve"> </w:t>
      </w:r>
      <w:r w:rsidR="000A2FD9">
        <w:rPr>
          <w:rFonts w:ascii="Times New Roman" w:hAnsi="Times New Roman"/>
          <w:sz w:val="24"/>
        </w:rPr>
        <w:t>briefing concepts</w:t>
      </w:r>
      <w:r w:rsidR="00E5683A">
        <w:rPr>
          <w:rFonts w:ascii="Times New Roman" w:hAnsi="Times New Roman"/>
          <w:sz w:val="24"/>
        </w:rPr>
        <w:t>, in an acronym form (IRAC),</w:t>
      </w:r>
      <w:r w:rsidR="000A2FD9">
        <w:rPr>
          <w:rFonts w:ascii="Times New Roman" w:hAnsi="Times New Roman"/>
          <w:sz w:val="24"/>
        </w:rPr>
        <w:t xml:space="preserve"> for any legal issue</w:t>
      </w:r>
      <w:r w:rsidR="00114AF9">
        <w:rPr>
          <w:rFonts w:ascii="Times New Roman" w:hAnsi="Times New Roman"/>
          <w:sz w:val="24"/>
        </w:rPr>
        <w:t>.</w:t>
      </w:r>
    </w:p>
    <w:p w:rsidR="00065944" w:rsidP="008247EF" w14:paraId="404951A3" w14:textId="2362512D">
      <w:pPr>
        <w:spacing w:line="480" w:lineRule="auto"/>
        <w:rPr>
          <w:rFonts w:ascii="Times New Roman" w:hAnsi="Times New Roman"/>
          <w:sz w:val="24"/>
        </w:rPr>
      </w:pPr>
      <w:r>
        <w:rPr>
          <w:rFonts w:ascii="Times New Roman" w:hAnsi="Times New Roman"/>
          <w:sz w:val="24"/>
        </w:rPr>
        <w:tab/>
      </w:r>
      <w:r w:rsidR="00FF44CF">
        <w:rPr>
          <w:rFonts w:ascii="Times New Roman" w:hAnsi="Times New Roman"/>
          <w:sz w:val="24"/>
        </w:rPr>
        <w:t>According to Trautman et al., professional success requires proper legal analysis and writing skills</w:t>
      </w:r>
      <w:r w:rsidR="00AA57C7">
        <w:rPr>
          <w:rFonts w:ascii="Times New Roman" w:hAnsi="Times New Roman"/>
          <w:sz w:val="24"/>
        </w:rPr>
        <w:t xml:space="preserve"> (4). </w:t>
      </w:r>
      <w:r w:rsidR="0066447D">
        <w:rPr>
          <w:rFonts w:ascii="Times New Roman" w:hAnsi="Times New Roman"/>
          <w:sz w:val="24"/>
        </w:rPr>
        <w:t>Business or law, the authors, assert, need research, analysis, and writing skills for success.</w:t>
      </w:r>
      <w:r w:rsidR="00D600C9">
        <w:rPr>
          <w:rFonts w:ascii="Times New Roman" w:hAnsi="Times New Roman"/>
          <w:sz w:val="24"/>
        </w:rPr>
        <w:t xml:space="preserve"> </w:t>
      </w:r>
      <w:r w:rsidR="00E256F4">
        <w:rPr>
          <w:rFonts w:ascii="Times New Roman" w:hAnsi="Times New Roman"/>
          <w:sz w:val="24"/>
        </w:rPr>
        <w:t xml:space="preserve">The </w:t>
      </w:r>
      <w:r w:rsidR="009E6EB0">
        <w:rPr>
          <w:rFonts w:ascii="Times New Roman" w:hAnsi="Times New Roman"/>
          <w:sz w:val="24"/>
        </w:rPr>
        <w:t xml:space="preserve">preceding list is essential because the profession </w:t>
      </w:r>
      <w:r w:rsidR="00E256F4">
        <w:rPr>
          <w:rFonts w:ascii="Times New Roman" w:hAnsi="Times New Roman"/>
          <w:sz w:val="24"/>
        </w:rPr>
        <w:t>entails analysis of precedent, evaluation of evidence and drafting</w:t>
      </w:r>
      <w:r w:rsidR="002A3A27">
        <w:rPr>
          <w:rFonts w:ascii="Times New Roman" w:hAnsi="Times New Roman"/>
          <w:sz w:val="24"/>
        </w:rPr>
        <w:t xml:space="preserve"> of legal issues</w:t>
      </w:r>
      <w:r w:rsidR="00E256F4">
        <w:rPr>
          <w:rFonts w:ascii="Times New Roman" w:hAnsi="Times New Roman"/>
          <w:sz w:val="24"/>
        </w:rPr>
        <w:t>.</w:t>
      </w:r>
      <w:r w:rsidR="00314D7A">
        <w:rPr>
          <w:rFonts w:ascii="Times New Roman" w:hAnsi="Times New Roman"/>
          <w:sz w:val="24"/>
        </w:rPr>
        <w:t xml:space="preserve"> </w:t>
      </w:r>
      <w:r w:rsidR="00E13FD9">
        <w:rPr>
          <w:rFonts w:ascii="Times New Roman" w:hAnsi="Times New Roman"/>
          <w:sz w:val="24"/>
        </w:rPr>
        <w:t>Clear and concise legal writing, according to the authors, is critical in the judicial system in that, the written opinions will be used by lawyers and other judges to explain whatever the law is.</w:t>
      </w:r>
      <w:r w:rsidR="002B345A">
        <w:rPr>
          <w:rFonts w:ascii="Times New Roman" w:hAnsi="Times New Roman"/>
          <w:sz w:val="24"/>
        </w:rPr>
        <w:t xml:space="preserve"> Despite the vast knowledge that proper research and writing skills are critical in the law</w:t>
      </w:r>
      <w:r w:rsidR="00AA4A36">
        <w:rPr>
          <w:rFonts w:ascii="Times New Roman" w:hAnsi="Times New Roman"/>
          <w:sz w:val="24"/>
        </w:rPr>
        <w:t xml:space="preserve">, it surprises the fact that lawyers don't write </w:t>
      </w:r>
      <w:r w:rsidR="00AA4A36">
        <w:rPr>
          <w:rFonts w:ascii="Times New Roman" w:hAnsi="Times New Roman"/>
          <w:sz w:val="24"/>
        </w:rPr>
        <w:t>well.</w:t>
      </w:r>
      <w:r w:rsidR="0014441E">
        <w:rPr>
          <w:rFonts w:ascii="Times New Roman" w:hAnsi="Times New Roman"/>
          <w:sz w:val="24"/>
        </w:rPr>
        <w:t xml:space="preserve"> The authors, thereby, calls for </w:t>
      </w:r>
      <w:r w:rsidR="002E41CC">
        <w:rPr>
          <w:rFonts w:ascii="Times New Roman" w:hAnsi="Times New Roman"/>
          <w:sz w:val="24"/>
        </w:rPr>
        <w:t xml:space="preserve">an </w:t>
      </w:r>
      <w:r w:rsidR="0014441E">
        <w:rPr>
          <w:rFonts w:ascii="Times New Roman" w:hAnsi="Times New Roman"/>
          <w:sz w:val="24"/>
        </w:rPr>
        <w:t>active organization of writer's thoughts</w:t>
      </w:r>
      <w:r w:rsidR="002E41CC">
        <w:rPr>
          <w:rFonts w:ascii="Times New Roman" w:hAnsi="Times New Roman"/>
          <w:sz w:val="24"/>
        </w:rPr>
        <w:t xml:space="preserve"> and</w:t>
      </w:r>
      <w:r w:rsidR="009E5510">
        <w:rPr>
          <w:rFonts w:ascii="Times New Roman" w:hAnsi="Times New Roman"/>
          <w:sz w:val="24"/>
        </w:rPr>
        <w:t xml:space="preserve"> </w:t>
      </w:r>
      <w:r w:rsidR="002E41CC">
        <w:rPr>
          <w:rFonts w:ascii="Times New Roman" w:hAnsi="Times New Roman"/>
          <w:sz w:val="24"/>
        </w:rPr>
        <w:t>proper word usage</w:t>
      </w:r>
      <w:r w:rsidR="00DC1539">
        <w:rPr>
          <w:rFonts w:ascii="Times New Roman" w:hAnsi="Times New Roman"/>
          <w:sz w:val="24"/>
        </w:rPr>
        <w:t xml:space="preserve"> while identifying and summarizing various parts of a case.</w:t>
      </w:r>
    </w:p>
    <w:p w:rsidR="006A5D01" w:rsidP="008247EF" w14:paraId="780CC40C" w14:textId="22039259">
      <w:pPr>
        <w:spacing w:line="480" w:lineRule="auto"/>
        <w:rPr>
          <w:rFonts w:ascii="Times New Roman" w:hAnsi="Times New Roman"/>
          <w:sz w:val="24"/>
        </w:rPr>
      </w:pPr>
      <w:r>
        <w:rPr>
          <w:rFonts w:ascii="Times New Roman" w:hAnsi="Times New Roman"/>
          <w:sz w:val="24"/>
        </w:rPr>
        <w:tab/>
      </w:r>
      <w:r w:rsidR="00E47995">
        <w:rPr>
          <w:rFonts w:ascii="Times New Roman" w:hAnsi="Times New Roman"/>
          <w:sz w:val="24"/>
        </w:rPr>
        <w:t xml:space="preserve">While many scholars have offered many acronyms for brief organizational structure, </w:t>
      </w:r>
      <w:r w:rsidR="00F23F01">
        <w:rPr>
          <w:rFonts w:ascii="Times New Roman" w:hAnsi="Times New Roman"/>
          <w:sz w:val="24"/>
        </w:rPr>
        <w:t>Trautman</w:t>
      </w:r>
      <w:r w:rsidR="00E47995">
        <w:rPr>
          <w:rFonts w:ascii="Times New Roman" w:hAnsi="Times New Roman"/>
          <w:sz w:val="24"/>
        </w:rPr>
        <w:t xml:space="preserve"> et al. recommend IRAC</w:t>
      </w:r>
      <w:r w:rsidR="00533AEA">
        <w:rPr>
          <w:rFonts w:ascii="Times New Roman" w:hAnsi="Times New Roman"/>
          <w:sz w:val="24"/>
        </w:rPr>
        <w:t xml:space="preserve"> that stands for Issue, Rule, Application, and Conclusion</w:t>
      </w:r>
      <w:r w:rsidR="00E47995">
        <w:rPr>
          <w:rFonts w:ascii="Times New Roman" w:hAnsi="Times New Roman"/>
          <w:sz w:val="24"/>
        </w:rPr>
        <w:t>.</w:t>
      </w:r>
      <w:r w:rsidR="00802A66">
        <w:rPr>
          <w:rFonts w:ascii="Times New Roman" w:hAnsi="Times New Roman"/>
          <w:sz w:val="24"/>
        </w:rPr>
        <w:t xml:space="preserve"> In the format,</w:t>
      </w:r>
      <w:r w:rsidR="00533AEA">
        <w:rPr>
          <w:rFonts w:ascii="Times New Roman" w:hAnsi="Times New Roman"/>
          <w:sz w:val="24"/>
        </w:rPr>
        <w:t xml:space="preserve"> to begin with, before analyzing the acronyms,</w:t>
      </w:r>
      <w:r w:rsidR="00802A66">
        <w:rPr>
          <w:rFonts w:ascii="Times New Roman" w:hAnsi="Times New Roman"/>
          <w:sz w:val="24"/>
        </w:rPr>
        <w:t xml:space="preserve"> a student should start by briefing the case at the top of the page by highlighting the full citation</w:t>
      </w:r>
      <w:r w:rsidR="00B10970">
        <w:rPr>
          <w:rFonts w:ascii="Times New Roman" w:hAnsi="Times New Roman"/>
          <w:sz w:val="24"/>
        </w:rPr>
        <w:t xml:space="preserve"> and statement of the facts of the case</w:t>
      </w:r>
      <w:r w:rsidR="00573D02">
        <w:rPr>
          <w:rFonts w:ascii="Times New Roman" w:hAnsi="Times New Roman"/>
          <w:sz w:val="24"/>
        </w:rPr>
        <w:t xml:space="preserve"> (</w:t>
      </w:r>
      <w:r w:rsidR="002B611F">
        <w:rPr>
          <w:rFonts w:ascii="Times New Roman" w:hAnsi="Times New Roman"/>
          <w:sz w:val="24"/>
        </w:rPr>
        <w:t xml:space="preserve">Trautman et al. </w:t>
      </w:r>
      <w:r w:rsidR="00573D02">
        <w:rPr>
          <w:rFonts w:ascii="Times New Roman" w:hAnsi="Times New Roman"/>
          <w:sz w:val="24"/>
        </w:rPr>
        <w:t>9)</w:t>
      </w:r>
      <w:r w:rsidR="00B10970">
        <w:rPr>
          <w:rFonts w:ascii="Times New Roman" w:hAnsi="Times New Roman"/>
          <w:sz w:val="24"/>
        </w:rPr>
        <w:t>.</w:t>
      </w:r>
      <w:r w:rsidR="00573D02">
        <w:rPr>
          <w:rFonts w:ascii="Times New Roman" w:hAnsi="Times New Roman"/>
          <w:sz w:val="24"/>
        </w:rPr>
        <w:t xml:space="preserve"> The full citation should include the date of the decision and the court that made the decision.</w:t>
      </w:r>
      <w:r w:rsidR="00270BC9">
        <w:rPr>
          <w:rFonts w:ascii="Times New Roman" w:hAnsi="Times New Roman"/>
          <w:sz w:val="24"/>
        </w:rPr>
        <w:t xml:space="preserve"> Statement of facts, on the other hand, includes; reasons for the lawsuit, lower court’s decision, and plaintiff and defendant identity and argument respectively.</w:t>
      </w:r>
    </w:p>
    <w:p w:rsidR="00533AEA" w:rsidP="008247EF" w14:paraId="5CB37C81" w14:textId="38560DB9">
      <w:pPr>
        <w:spacing w:line="480" w:lineRule="auto"/>
        <w:rPr>
          <w:rFonts w:ascii="Times New Roman" w:hAnsi="Times New Roman"/>
          <w:sz w:val="24"/>
        </w:rPr>
      </w:pPr>
      <w:r>
        <w:rPr>
          <w:rFonts w:ascii="Times New Roman" w:hAnsi="Times New Roman"/>
          <w:sz w:val="24"/>
        </w:rPr>
        <w:tab/>
        <w:t xml:space="preserve">With that said, </w:t>
      </w:r>
      <w:r w:rsidR="00514775">
        <w:rPr>
          <w:rFonts w:ascii="Times New Roman" w:hAnsi="Times New Roman"/>
          <w:sz w:val="24"/>
        </w:rPr>
        <w:t xml:space="preserve">the IRAC organizational further describes arguments into </w:t>
      </w:r>
      <w:r w:rsidR="007021E6">
        <w:rPr>
          <w:rFonts w:ascii="Times New Roman" w:hAnsi="Times New Roman"/>
          <w:sz w:val="24"/>
        </w:rPr>
        <w:t>Issue</w:t>
      </w:r>
      <w:r w:rsidR="00514775">
        <w:rPr>
          <w:rFonts w:ascii="Times New Roman" w:hAnsi="Times New Roman"/>
          <w:sz w:val="24"/>
        </w:rPr>
        <w:t>, Rule, Application and Conclusion sections.</w:t>
      </w:r>
      <w:r w:rsidR="007021E6">
        <w:rPr>
          <w:rFonts w:ascii="Times New Roman" w:hAnsi="Times New Roman"/>
          <w:sz w:val="24"/>
        </w:rPr>
        <w:t xml:space="preserve"> According to the authors, </w:t>
      </w:r>
      <w:r w:rsidR="00B10C7F">
        <w:rPr>
          <w:rFonts w:ascii="Times New Roman" w:hAnsi="Times New Roman"/>
          <w:sz w:val="24"/>
        </w:rPr>
        <w:t>a student should identify the issue and</w:t>
      </w:r>
      <w:r w:rsidR="007021E6">
        <w:rPr>
          <w:rFonts w:ascii="Times New Roman" w:hAnsi="Times New Roman"/>
          <w:sz w:val="24"/>
        </w:rPr>
        <w:t xml:space="preserve"> reduce</w:t>
      </w:r>
      <w:r w:rsidR="00B10C7F">
        <w:rPr>
          <w:rFonts w:ascii="Times New Roman" w:hAnsi="Times New Roman"/>
          <w:sz w:val="24"/>
        </w:rPr>
        <w:t xml:space="preserve"> it</w:t>
      </w:r>
      <w:r w:rsidR="007021E6">
        <w:rPr>
          <w:rFonts w:ascii="Times New Roman" w:hAnsi="Times New Roman"/>
          <w:sz w:val="24"/>
        </w:rPr>
        <w:t xml:space="preserve"> to a single sentence</w:t>
      </w:r>
      <w:r w:rsidR="001C16C3">
        <w:rPr>
          <w:rFonts w:ascii="Times New Roman" w:hAnsi="Times New Roman"/>
          <w:sz w:val="24"/>
        </w:rPr>
        <w:t xml:space="preserve"> (10)</w:t>
      </w:r>
      <w:r w:rsidR="00A802A5">
        <w:rPr>
          <w:rFonts w:ascii="Times New Roman" w:hAnsi="Times New Roman"/>
          <w:sz w:val="24"/>
        </w:rPr>
        <w:t xml:space="preserve">. </w:t>
      </w:r>
      <w:r w:rsidR="00B45CCF">
        <w:rPr>
          <w:rFonts w:ascii="Times New Roman" w:hAnsi="Times New Roman"/>
          <w:sz w:val="24"/>
        </w:rPr>
        <w:t xml:space="preserve">Important </w:t>
      </w:r>
      <w:r w:rsidR="00A802A5">
        <w:rPr>
          <w:rFonts w:ascii="Times New Roman" w:hAnsi="Times New Roman"/>
          <w:sz w:val="24"/>
        </w:rPr>
        <w:t>to note</w:t>
      </w:r>
      <w:r w:rsidR="00952AFA">
        <w:rPr>
          <w:rFonts w:ascii="Times New Roman" w:hAnsi="Times New Roman"/>
          <w:sz w:val="24"/>
        </w:rPr>
        <w:t xml:space="preserve"> is that every word count</w:t>
      </w:r>
      <w:r w:rsidR="00B45CCF">
        <w:rPr>
          <w:rFonts w:ascii="Times New Roman" w:hAnsi="Times New Roman"/>
          <w:sz w:val="24"/>
        </w:rPr>
        <w:t>s</w:t>
      </w:r>
      <w:r w:rsidR="00952AFA">
        <w:rPr>
          <w:rFonts w:ascii="Times New Roman" w:hAnsi="Times New Roman"/>
          <w:sz w:val="24"/>
        </w:rPr>
        <w:t xml:space="preserve"> </w:t>
      </w:r>
      <w:r w:rsidR="00952AFA">
        <w:rPr>
          <w:rFonts w:ascii="Times New Roman" w:hAnsi="Times New Roman"/>
          <w:sz w:val="24"/>
        </w:rPr>
        <w:t>and has a</w:t>
      </w:r>
      <w:r w:rsidR="00B45CCF">
        <w:rPr>
          <w:rFonts w:ascii="Times New Roman" w:hAnsi="Times New Roman"/>
          <w:sz w:val="24"/>
        </w:rPr>
        <w:t xml:space="preserve"> </w:t>
      </w:r>
      <w:r w:rsidR="00952AFA">
        <w:rPr>
          <w:rFonts w:ascii="Times New Roman" w:hAnsi="Times New Roman"/>
          <w:sz w:val="24"/>
        </w:rPr>
        <w:t>me</w:t>
      </w:r>
      <w:r w:rsidR="00B45CCF">
        <w:rPr>
          <w:rFonts w:ascii="Times New Roman" w:hAnsi="Times New Roman"/>
          <w:sz w:val="24"/>
        </w:rPr>
        <w:t>a</w:t>
      </w:r>
      <w:r w:rsidR="00952AFA">
        <w:rPr>
          <w:rFonts w:ascii="Times New Roman" w:hAnsi="Times New Roman"/>
          <w:sz w:val="24"/>
        </w:rPr>
        <w:t>ning in legal analysis</w:t>
      </w:r>
      <w:r w:rsidR="00943867">
        <w:rPr>
          <w:rFonts w:ascii="Times New Roman" w:hAnsi="Times New Roman"/>
          <w:sz w:val="24"/>
        </w:rPr>
        <w:t>; therefore, students must take the</w:t>
      </w:r>
      <w:r w:rsidR="00D372AC">
        <w:rPr>
          <w:rFonts w:ascii="Times New Roman" w:hAnsi="Times New Roman"/>
          <w:sz w:val="24"/>
        </w:rPr>
        <w:t>ir</w:t>
      </w:r>
      <w:r w:rsidR="00943867">
        <w:rPr>
          <w:rFonts w:ascii="Times New Roman" w:hAnsi="Times New Roman"/>
          <w:sz w:val="24"/>
        </w:rPr>
        <w:t xml:space="preserve"> time in comprehending an issue rather than copying and pasting stated issues.</w:t>
      </w:r>
      <w:r w:rsidR="00D372AC">
        <w:rPr>
          <w:rFonts w:ascii="Times New Roman" w:hAnsi="Times New Roman"/>
          <w:sz w:val="24"/>
        </w:rPr>
        <w:t xml:space="preserve"> On the other hand, a Rule statement, the authors assert, is achievable in a single paragraph.</w:t>
      </w:r>
      <w:r w:rsidR="001C16C3">
        <w:rPr>
          <w:rFonts w:ascii="Times New Roman" w:hAnsi="Times New Roman"/>
          <w:sz w:val="24"/>
        </w:rPr>
        <w:t xml:space="preserve"> </w:t>
      </w:r>
      <w:r w:rsidR="007A44EA">
        <w:rPr>
          <w:rFonts w:ascii="Times New Roman" w:hAnsi="Times New Roman"/>
          <w:sz w:val="24"/>
        </w:rPr>
        <w:t xml:space="preserve">Similar to an issue, </w:t>
      </w:r>
      <w:r w:rsidR="000D2179">
        <w:rPr>
          <w:rFonts w:ascii="Times New Roman" w:hAnsi="Times New Roman"/>
          <w:sz w:val="24"/>
        </w:rPr>
        <w:t xml:space="preserve">the authors recommend </w:t>
      </w:r>
      <w:r w:rsidR="007A44EA">
        <w:rPr>
          <w:rFonts w:ascii="Times New Roman" w:hAnsi="Times New Roman"/>
          <w:sz w:val="24"/>
        </w:rPr>
        <w:t xml:space="preserve">it </w:t>
      </w:r>
      <w:r w:rsidR="000D2179">
        <w:rPr>
          <w:rFonts w:ascii="Times New Roman" w:hAnsi="Times New Roman"/>
          <w:sz w:val="24"/>
        </w:rPr>
        <w:t xml:space="preserve">be </w:t>
      </w:r>
      <w:r w:rsidR="007A44EA">
        <w:rPr>
          <w:rFonts w:ascii="Times New Roman" w:hAnsi="Times New Roman"/>
          <w:sz w:val="24"/>
        </w:rPr>
        <w:t>should be stated word-for-word.</w:t>
      </w:r>
    </w:p>
    <w:p w:rsidR="00C543F7" w:rsidP="008247EF" w14:paraId="44BC21A0" w14:textId="497AC26C">
      <w:pPr>
        <w:spacing w:line="480" w:lineRule="auto"/>
        <w:rPr>
          <w:rFonts w:ascii="Times New Roman" w:hAnsi="Times New Roman"/>
          <w:sz w:val="24"/>
        </w:rPr>
      </w:pPr>
      <w:r>
        <w:rPr>
          <w:rFonts w:ascii="Times New Roman" w:hAnsi="Times New Roman"/>
          <w:sz w:val="24"/>
        </w:rPr>
        <w:tab/>
        <w:t>Th</w:t>
      </w:r>
      <w:r w:rsidR="00A51809">
        <w:rPr>
          <w:rFonts w:ascii="Times New Roman" w:hAnsi="Times New Roman"/>
          <w:sz w:val="24"/>
        </w:rPr>
        <w:t>e th</w:t>
      </w:r>
      <w:r>
        <w:rPr>
          <w:rFonts w:ascii="Times New Roman" w:hAnsi="Times New Roman"/>
          <w:sz w:val="24"/>
        </w:rPr>
        <w:t>ird segment is the rule application section in which students do most of the writing.</w:t>
      </w:r>
      <w:r w:rsidR="00D85530">
        <w:rPr>
          <w:rFonts w:ascii="Times New Roman" w:hAnsi="Times New Roman"/>
          <w:sz w:val="24"/>
        </w:rPr>
        <w:t xml:space="preserve"> It answers how the rules of law apply to facts and circumstances of the case.</w:t>
      </w:r>
      <w:r w:rsidR="00A51809">
        <w:rPr>
          <w:rFonts w:ascii="Times New Roman" w:hAnsi="Times New Roman"/>
          <w:sz w:val="24"/>
        </w:rPr>
        <w:t xml:space="preserve"> For effectiveness and actuality, it should be based on the Constitution or applicable </w:t>
      </w:r>
      <w:r w:rsidR="00A66658">
        <w:rPr>
          <w:rFonts w:ascii="Times New Roman" w:hAnsi="Times New Roman"/>
          <w:sz w:val="24"/>
        </w:rPr>
        <w:t>S</w:t>
      </w:r>
      <w:r w:rsidR="00A51809">
        <w:rPr>
          <w:rFonts w:ascii="Times New Roman" w:hAnsi="Times New Roman"/>
          <w:sz w:val="24"/>
        </w:rPr>
        <w:t>upreme Court cases</w:t>
      </w:r>
      <w:r w:rsidR="00960FC0">
        <w:rPr>
          <w:rFonts w:ascii="Times New Roman" w:hAnsi="Times New Roman"/>
          <w:sz w:val="24"/>
        </w:rPr>
        <w:t xml:space="preserve"> (Trautman et al. 12</w:t>
      </w:r>
      <w:r w:rsidR="00A51809">
        <w:rPr>
          <w:rFonts w:ascii="Times New Roman" w:hAnsi="Times New Roman"/>
          <w:sz w:val="24"/>
        </w:rPr>
        <w:t>.</w:t>
      </w:r>
      <w:r w:rsidR="00666AB6">
        <w:rPr>
          <w:rFonts w:ascii="Times New Roman" w:hAnsi="Times New Roman"/>
          <w:sz w:val="24"/>
        </w:rPr>
        <w:t xml:space="preserve"> Basing arguments on the latter proves instructive at how the court utilizes its prior decisions.</w:t>
      </w:r>
      <w:r w:rsidR="008D68C9">
        <w:rPr>
          <w:rFonts w:ascii="Times New Roman" w:hAnsi="Times New Roman"/>
          <w:sz w:val="24"/>
        </w:rPr>
        <w:t xml:space="preserve"> In the effect that a writer follows the above three steps carefully, the authors assert that the conclusion will be evident and straightforward.</w:t>
      </w:r>
      <w:r w:rsidR="0010128B">
        <w:rPr>
          <w:rFonts w:ascii="Times New Roman" w:hAnsi="Times New Roman"/>
          <w:sz w:val="24"/>
        </w:rPr>
        <w:t xml:space="preserve"> Frequently, courts use signalling words such as "we hold" or "we conclude". For clarity, however, the authors recommend the </w:t>
      </w:r>
      <w:r w:rsidR="0010128B">
        <w:rPr>
          <w:rFonts w:ascii="Times New Roman" w:hAnsi="Times New Roman"/>
          <w:sz w:val="24"/>
        </w:rPr>
        <w:t>conclusion to begin either with the word "yes" or "no" followed by a positive restatement of the actual issue</w:t>
      </w:r>
      <w:r w:rsidR="003D3176">
        <w:rPr>
          <w:rFonts w:ascii="Times New Roman" w:hAnsi="Times New Roman"/>
          <w:sz w:val="24"/>
        </w:rPr>
        <w:t xml:space="preserve"> (13)</w:t>
      </w:r>
      <w:r w:rsidR="0010128B">
        <w:rPr>
          <w:rFonts w:ascii="Times New Roman" w:hAnsi="Times New Roman"/>
          <w:sz w:val="24"/>
        </w:rPr>
        <w:t>.</w:t>
      </w:r>
    </w:p>
    <w:p w:rsidR="005E4B9A" w:rsidP="005E4B9A" w14:paraId="6E357A54" w14:textId="21F69345">
      <w:pPr>
        <w:spacing w:line="480" w:lineRule="auto"/>
        <w:ind w:firstLine="720"/>
        <w:rPr>
          <w:rFonts w:ascii="Times New Roman" w:hAnsi="Times New Roman"/>
          <w:sz w:val="24"/>
        </w:rPr>
      </w:pPr>
      <w:r>
        <w:rPr>
          <w:rFonts w:ascii="Times New Roman" w:hAnsi="Times New Roman"/>
          <w:sz w:val="24"/>
        </w:rPr>
        <w:t xml:space="preserve">The authors, therefore, acknowledges that research and writing is key in law. In as much they argue that writers can write legal analysis in 20 minutes through the use of IRAC acronym, </w:t>
      </w:r>
      <w:r w:rsidR="005A7EEF">
        <w:rPr>
          <w:rFonts w:ascii="Times New Roman" w:hAnsi="Times New Roman"/>
          <w:sz w:val="24"/>
        </w:rPr>
        <w:t>they acknowledge that hard work and regular practice is critical for the writing of a skilful report.</w:t>
      </w:r>
      <w:r w:rsidR="009F37AF">
        <w:rPr>
          <w:rFonts w:ascii="Times New Roman" w:hAnsi="Times New Roman"/>
          <w:sz w:val="24"/>
        </w:rPr>
        <w:t xml:space="preserve"> Moreover, they advise writers to take caution on writing ethics and plagiarism.</w:t>
      </w:r>
    </w:p>
    <w:p w:rsidR="005E4B9A" w14:paraId="0B7C804E" w14:textId="77777777">
      <w:pPr>
        <w:rPr>
          <w:rFonts w:ascii="Times New Roman" w:hAnsi="Times New Roman"/>
          <w:sz w:val="24"/>
        </w:rPr>
      </w:pPr>
      <w:r>
        <w:rPr>
          <w:rFonts w:ascii="Times New Roman" w:hAnsi="Times New Roman"/>
          <w:sz w:val="24"/>
        </w:rPr>
        <w:br w:type="page"/>
      </w:r>
    </w:p>
    <w:p w:rsidR="005E4B9A" w:rsidP="005E4B9A" w14:paraId="3AB08BF9" w14:textId="417AF10E">
      <w:pPr>
        <w:spacing w:line="480" w:lineRule="auto"/>
        <w:ind w:firstLine="720"/>
        <w:jc w:val="center"/>
        <w:rPr>
          <w:rFonts w:ascii="Times New Roman" w:hAnsi="Times New Roman"/>
          <w:sz w:val="24"/>
        </w:rPr>
      </w:pPr>
      <w:r>
        <w:rPr>
          <w:rFonts w:ascii="Times New Roman" w:hAnsi="Times New Roman"/>
          <w:sz w:val="24"/>
        </w:rPr>
        <w:t>Works Cited</w:t>
      </w:r>
    </w:p>
    <w:p w:rsidR="005E4B9A" w:rsidRPr="003314C1" w:rsidP="005E4B9A" w14:paraId="247E8852" w14:textId="5BC02029">
      <w:pPr>
        <w:spacing w:line="480" w:lineRule="auto"/>
        <w:ind w:left="720" w:hanging="720"/>
        <w:rPr>
          <w:rFonts w:ascii="Times New Roman" w:hAnsi="Times New Roman"/>
          <w:sz w:val="24"/>
        </w:rPr>
      </w:pPr>
      <w:r w:rsidRPr="005E4B9A">
        <w:rPr>
          <w:rFonts w:ascii="Times New Roman" w:hAnsi="Times New Roman"/>
          <w:sz w:val="24"/>
        </w:rPr>
        <w:t>Trautman, Lawrence J.</w:t>
      </w:r>
      <w:r w:rsidR="006C3DE9">
        <w:rPr>
          <w:rFonts w:ascii="Times New Roman" w:hAnsi="Times New Roman"/>
          <w:sz w:val="24"/>
        </w:rPr>
        <w:t>,</w:t>
      </w:r>
      <w:r w:rsidRPr="005E4B9A">
        <w:rPr>
          <w:rFonts w:ascii="Times New Roman" w:hAnsi="Times New Roman"/>
          <w:sz w:val="24"/>
        </w:rPr>
        <w:t xml:space="preserve"> Cathy</w:t>
      </w:r>
      <w:r w:rsidR="00A13BC0">
        <w:rPr>
          <w:rFonts w:ascii="Times New Roman" w:hAnsi="Times New Roman"/>
          <w:sz w:val="24"/>
        </w:rPr>
        <w:t xml:space="preserve"> L.</w:t>
      </w:r>
      <w:r w:rsidRPr="005E4B9A">
        <w:rPr>
          <w:rFonts w:ascii="Times New Roman" w:hAnsi="Times New Roman"/>
          <w:sz w:val="24"/>
        </w:rPr>
        <w:t xml:space="preserve"> </w:t>
      </w:r>
      <w:r w:rsidR="00A13BC0">
        <w:rPr>
          <w:rFonts w:ascii="Times New Roman" w:hAnsi="Times New Roman"/>
          <w:sz w:val="24"/>
        </w:rPr>
        <w:t>Taylor,</w:t>
      </w:r>
      <w:r w:rsidRPr="005E4B9A">
        <w:rPr>
          <w:rFonts w:ascii="Times New Roman" w:hAnsi="Times New Roman"/>
          <w:sz w:val="24"/>
        </w:rPr>
        <w:t xml:space="preserve"> Janet</w:t>
      </w:r>
      <w:r w:rsidR="00A13BC0">
        <w:rPr>
          <w:rFonts w:ascii="Times New Roman" w:hAnsi="Times New Roman"/>
          <w:sz w:val="24"/>
        </w:rPr>
        <w:t xml:space="preserve"> Ford,</w:t>
      </w:r>
      <w:r w:rsidRPr="005E4B9A">
        <w:rPr>
          <w:rFonts w:ascii="Times New Roman" w:hAnsi="Times New Roman"/>
          <w:sz w:val="24"/>
        </w:rPr>
        <w:t xml:space="preserve"> </w:t>
      </w:r>
      <w:r w:rsidR="00A13BC0">
        <w:rPr>
          <w:rFonts w:ascii="Times New Roman" w:hAnsi="Times New Roman"/>
          <w:sz w:val="24"/>
        </w:rPr>
        <w:t xml:space="preserve">Lora J. </w:t>
      </w:r>
      <w:r w:rsidRPr="005E4B9A">
        <w:rPr>
          <w:rFonts w:ascii="Times New Roman" w:hAnsi="Times New Roman"/>
          <w:sz w:val="24"/>
        </w:rPr>
        <w:t xml:space="preserve">Koretz, </w:t>
      </w:r>
      <w:r w:rsidR="00A13BC0">
        <w:rPr>
          <w:rFonts w:ascii="Times New Roman" w:hAnsi="Times New Roman"/>
          <w:sz w:val="24"/>
        </w:rPr>
        <w:t xml:space="preserve">Anthony L. </w:t>
      </w:r>
      <w:r w:rsidRPr="005E4B9A">
        <w:rPr>
          <w:rFonts w:ascii="Times New Roman" w:hAnsi="Times New Roman"/>
          <w:sz w:val="24"/>
        </w:rPr>
        <w:t xml:space="preserve">McMullen, and </w:t>
      </w:r>
      <w:r w:rsidR="00A13BC0">
        <w:rPr>
          <w:rFonts w:ascii="Times New Roman" w:hAnsi="Times New Roman"/>
          <w:sz w:val="24"/>
        </w:rPr>
        <w:t xml:space="preserve">Erin </w:t>
      </w:r>
      <w:r w:rsidRPr="005E4B9A">
        <w:rPr>
          <w:rFonts w:ascii="Times New Roman" w:hAnsi="Times New Roman"/>
          <w:sz w:val="24"/>
        </w:rPr>
        <w:t>Isom</w:t>
      </w:r>
      <w:r w:rsidR="006C3DE9">
        <w:rPr>
          <w:rFonts w:ascii="Times New Roman" w:hAnsi="Times New Roman"/>
          <w:sz w:val="24"/>
        </w:rPr>
        <w:t>.</w:t>
      </w:r>
      <w:r w:rsidRPr="005E4B9A">
        <w:rPr>
          <w:rFonts w:ascii="Times New Roman" w:hAnsi="Times New Roman"/>
          <w:sz w:val="24"/>
        </w:rPr>
        <w:t xml:space="preserve"> </w:t>
      </w:r>
      <w:r w:rsidR="009F1D83">
        <w:rPr>
          <w:rFonts w:ascii="Times New Roman" w:hAnsi="Times New Roman"/>
          <w:sz w:val="24"/>
        </w:rPr>
        <w:t>“</w:t>
      </w:r>
      <w:r w:rsidRPr="005E4B9A">
        <w:rPr>
          <w:rFonts w:ascii="Times New Roman" w:hAnsi="Times New Roman"/>
          <w:sz w:val="24"/>
        </w:rPr>
        <w:t xml:space="preserve">IRAC! IRAC! </w:t>
      </w:r>
      <w:r w:rsidRPr="005E4B9A">
        <w:rPr>
          <w:rFonts w:ascii="Times New Roman" w:hAnsi="Times New Roman"/>
          <w:sz w:val="24"/>
        </w:rPr>
        <w:t>IRAC!</w:t>
      </w:r>
      <w:r w:rsidRPr="005E4B9A">
        <w:rPr>
          <w:rFonts w:ascii="Times New Roman" w:hAnsi="Times New Roman"/>
          <w:sz w:val="24"/>
        </w:rPr>
        <w:t xml:space="preserve"> How to Brief Any Legal Issue</w:t>
      </w:r>
      <w:r w:rsidR="001925A0">
        <w:rPr>
          <w:rFonts w:ascii="Times New Roman" w:hAnsi="Times New Roman"/>
          <w:sz w:val="24"/>
        </w:rPr>
        <w:t>.</w:t>
      </w:r>
      <w:r w:rsidR="009F1D83">
        <w:rPr>
          <w:rFonts w:ascii="Times New Roman" w:hAnsi="Times New Roman"/>
          <w:sz w:val="24"/>
        </w:rPr>
        <w:t>”</w:t>
      </w:r>
      <w:r w:rsidRPr="005E4B9A">
        <w:rPr>
          <w:rFonts w:ascii="Times New Roman" w:hAnsi="Times New Roman"/>
          <w:sz w:val="24"/>
        </w:rPr>
        <w:t xml:space="preserve"> </w:t>
      </w:r>
      <w:r w:rsidRPr="001925A0" w:rsidR="001925A0">
        <w:rPr>
          <w:rFonts w:ascii="Times New Roman" w:hAnsi="Times New Roman"/>
          <w:i/>
          <w:iCs/>
          <w:sz w:val="24"/>
        </w:rPr>
        <w:t>Southern Law Journal</w:t>
      </w:r>
      <w:r w:rsidR="001925A0">
        <w:rPr>
          <w:rFonts w:ascii="Times New Roman" w:hAnsi="Times New Roman"/>
          <w:sz w:val="24"/>
        </w:rPr>
        <w:t xml:space="preserve">, vol. 29, no. 2, </w:t>
      </w:r>
      <w:r w:rsidRPr="005E4B9A" w:rsidR="001925A0">
        <w:rPr>
          <w:rFonts w:ascii="Times New Roman" w:hAnsi="Times New Roman"/>
          <w:sz w:val="24"/>
        </w:rPr>
        <w:t>Fall 2019</w:t>
      </w:r>
      <w:r w:rsidR="001925A0">
        <w:rPr>
          <w:rFonts w:ascii="Times New Roman" w:hAnsi="Times New Roman"/>
          <w:sz w:val="24"/>
        </w:rPr>
        <w:t xml:space="preserve">, </w:t>
      </w:r>
      <w:r w:rsidRPr="005E4B9A">
        <w:rPr>
          <w:rFonts w:ascii="Times New Roman" w:hAnsi="Times New Roman"/>
          <w:sz w:val="24"/>
        </w:rPr>
        <w:t xml:space="preserve">(September 14, 2017). Available at </w:t>
      </w:r>
      <w:r w:rsidRPr="001925A0">
        <w:rPr>
          <w:rFonts w:ascii="Times New Roman" w:hAnsi="Times New Roman"/>
          <w:i/>
          <w:iCs/>
          <w:sz w:val="24"/>
        </w:rPr>
        <w:t>SSRN</w:t>
      </w:r>
      <w:r w:rsidRPr="005E4B9A">
        <w:rPr>
          <w:rFonts w:ascii="Times New Roman" w:hAnsi="Times New Roman"/>
          <w:sz w:val="24"/>
        </w:rPr>
        <w:t>: </w:t>
      </w:r>
      <w:hyperlink r:id="rId4" w:tgtFrame="_blank" w:history="1">
        <w:r w:rsidRPr="005E4B9A">
          <w:rPr>
            <w:rStyle w:val="Hyperlink"/>
            <w:rFonts w:ascii="Times New Roman" w:hAnsi="Times New Roman"/>
            <w:sz w:val="24"/>
          </w:rPr>
          <w:t>https://ssrn.com/abstract=2827285</w:t>
        </w:r>
      </w:hyperlink>
      <w:r w:rsidRPr="005E4B9A">
        <w:rPr>
          <w:rFonts w:ascii="Times New Roman" w:hAnsi="Times New Roman"/>
          <w:sz w:val="24"/>
        </w:rPr>
        <w:t> or </w:t>
      </w:r>
      <w:hyperlink r:id="rId5" w:tgtFrame="_blank" w:history="1">
        <w:r w:rsidRPr="005E4B9A">
          <w:rPr>
            <w:rStyle w:val="Hyperlink"/>
            <w:rFonts w:ascii="Times New Roman" w:hAnsi="Times New Roman"/>
            <w:sz w:val="24"/>
          </w:rPr>
          <w:t>http://dx.doi.org/10.2139/ssrn.2827285</w:t>
        </w:r>
      </w:hyperlink>
      <w:r w:rsidR="001925A0">
        <w:rPr>
          <w:rFonts w:ascii="Times New Roman" w:hAnsi="Times New Roman"/>
          <w:sz w:val="24"/>
        </w:rPr>
        <w:t>.</w:t>
      </w: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14C1" w:rsidRPr="003314C1" w14:paraId="1D6088E8" w14:textId="1D428D82">
    <w:pPr>
      <w:pStyle w:val="Header"/>
      <w:rPr>
        <w:rFonts w:ascii="Times New Roman" w:hAnsi="Times New Roman" w:cs="Times New Roman"/>
      </w:rPr>
    </w:pPr>
    <w:r>
      <w:tab/>
    </w:r>
    <w:r>
      <w:tab/>
    </w:r>
    <w:r w:rsidR="00960FC0">
      <w:rPr>
        <w:rFonts w:ascii="Times New Roman" w:hAnsi="Times New Roman" w:cs="Times New Roman"/>
        <w:sz w:val="24"/>
        <w:szCs w:val="24"/>
      </w:rPr>
      <w:t>Surname</w:t>
    </w:r>
    <w:r>
      <w:rPr>
        <w:rFonts w:ascii="Times New Roman" w:hAnsi="Times New Roman" w:cs="Times New Roman"/>
        <w:sz w:val="24"/>
        <w:szCs w:val="24"/>
      </w:rPr>
      <w:t xml:space="preserve"> </w:t>
    </w:r>
    <w:r w:rsidRPr="003314C1">
      <w:rPr>
        <w:rFonts w:ascii="Times New Roman" w:hAnsi="Times New Roman" w:cs="Times New Roman"/>
        <w:sz w:val="24"/>
        <w:szCs w:val="24"/>
      </w:rPr>
      <w:fldChar w:fldCharType="begin"/>
    </w:r>
    <w:r w:rsidRPr="003314C1">
      <w:rPr>
        <w:rFonts w:ascii="Times New Roman" w:hAnsi="Times New Roman" w:cs="Times New Roman"/>
        <w:sz w:val="24"/>
        <w:szCs w:val="24"/>
      </w:rPr>
      <w:instrText xml:space="preserve"> PAGE   \* MERGEFORMAT </w:instrText>
    </w:r>
    <w:r w:rsidRPr="003314C1">
      <w:rPr>
        <w:rFonts w:ascii="Times New Roman" w:hAnsi="Times New Roman" w:cs="Times New Roman"/>
        <w:sz w:val="24"/>
        <w:szCs w:val="24"/>
      </w:rPr>
      <w:fldChar w:fldCharType="separate"/>
    </w:r>
    <w:r w:rsidRPr="003314C1">
      <w:rPr>
        <w:rFonts w:ascii="Times New Roman" w:hAnsi="Times New Roman" w:cs="Times New Roman"/>
        <w:noProof/>
        <w:sz w:val="24"/>
        <w:szCs w:val="24"/>
      </w:rPr>
      <w:t>1</w:t>
    </w:r>
    <w:r w:rsidRPr="003314C1">
      <w:rPr>
        <w:rFonts w:ascii="Times New Roman" w:hAnsi="Times New Roman" w:cs="Times New Roman"/>
        <w:noProof/>
        <w:sz w:val="24"/>
        <w:szCs w:val="24"/>
      </w:rPr>
      <w:fldChar w:fldCharType="end"/>
    </w:r>
  </w:p>
  <w:p w:rsidR="003314C1" w14:paraId="4B34298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4F4"/>
    <w:rsid w:val="000049C2"/>
    <w:rsid w:val="00065944"/>
    <w:rsid w:val="000A2FD9"/>
    <w:rsid w:val="000D2179"/>
    <w:rsid w:val="000D7F60"/>
    <w:rsid w:val="000E4E27"/>
    <w:rsid w:val="0010128B"/>
    <w:rsid w:val="00114AF9"/>
    <w:rsid w:val="00126C1E"/>
    <w:rsid w:val="0014441E"/>
    <w:rsid w:val="001925A0"/>
    <w:rsid w:val="001C16C3"/>
    <w:rsid w:val="002072C8"/>
    <w:rsid w:val="00270BC9"/>
    <w:rsid w:val="002A3A27"/>
    <w:rsid w:val="002B345A"/>
    <w:rsid w:val="002B611F"/>
    <w:rsid w:val="002E41CC"/>
    <w:rsid w:val="00314D7A"/>
    <w:rsid w:val="00327985"/>
    <w:rsid w:val="003314C1"/>
    <w:rsid w:val="00393AEC"/>
    <w:rsid w:val="003D3176"/>
    <w:rsid w:val="00466332"/>
    <w:rsid w:val="004B4DBE"/>
    <w:rsid w:val="004F7D13"/>
    <w:rsid w:val="00514775"/>
    <w:rsid w:val="00533AEA"/>
    <w:rsid w:val="00573D02"/>
    <w:rsid w:val="005A7EEF"/>
    <w:rsid w:val="005E4B9A"/>
    <w:rsid w:val="0066447D"/>
    <w:rsid w:val="00666AB6"/>
    <w:rsid w:val="006A5D01"/>
    <w:rsid w:val="006C3DE9"/>
    <w:rsid w:val="006E3CCC"/>
    <w:rsid w:val="006F2F8B"/>
    <w:rsid w:val="007021E6"/>
    <w:rsid w:val="007A44EA"/>
    <w:rsid w:val="00802A66"/>
    <w:rsid w:val="008247EF"/>
    <w:rsid w:val="00870C05"/>
    <w:rsid w:val="008D68C9"/>
    <w:rsid w:val="009158E8"/>
    <w:rsid w:val="00943825"/>
    <w:rsid w:val="00943867"/>
    <w:rsid w:val="009454F4"/>
    <w:rsid w:val="00952AFA"/>
    <w:rsid w:val="00960FC0"/>
    <w:rsid w:val="00983224"/>
    <w:rsid w:val="009A2B63"/>
    <w:rsid w:val="009E5510"/>
    <w:rsid w:val="009E6EB0"/>
    <w:rsid w:val="009F1D83"/>
    <w:rsid w:val="009F37AF"/>
    <w:rsid w:val="00A13BC0"/>
    <w:rsid w:val="00A51809"/>
    <w:rsid w:val="00A66658"/>
    <w:rsid w:val="00A802A5"/>
    <w:rsid w:val="00AA4A36"/>
    <w:rsid w:val="00AA57C7"/>
    <w:rsid w:val="00B10970"/>
    <w:rsid w:val="00B10C7F"/>
    <w:rsid w:val="00B3606E"/>
    <w:rsid w:val="00B45CCF"/>
    <w:rsid w:val="00BC45D8"/>
    <w:rsid w:val="00C35E2C"/>
    <w:rsid w:val="00C543F7"/>
    <w:rsid w:val="00D372AC"/>
    <w:rsid w:val="00D600C9"/>
    <w:rsid w:val="00D85530"/>
    <w:rsid w:val="00DC1539"/>
    <w:rsid w:val="00E13FD9"/>
    <w:rsid w:val="00E256F4"/>
    <w:rsid w:val="00E33F56"/>
    <w:rsid w:val="00E47995"/>
    <w:rsid w:val="00E5683A"/>
    <w:rsid w:val="00F208FC"/>
    <w:rsid w:val="00F23F01"/>
    <w:rsid w:val="00F94C37"/>
    <w:rsid w:val="00FF2864"/>
    <w:rsid w:val="00FF44C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7C6BB38-CB13-4822-A12A-9E6D136BA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4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4C1"/>
  </w:style>
  <w:style w:type="paragraph" w:styleId="Footer">
    <w:name w:val="footer"/>
    <w:basedOn w:val="Normal"/>
    <w:link w:val="FooterChar"/>
    <w:uiPriority w:val="99"/>
    <w:unhideWhenUsed/>
    <w:rsid w:val="003314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4C1"/>
  </w:style>
  <w:style w:type="character" w:styleId="Hyperlink">
    <w:name w:val="Hyperlink"/>
    <w:basedOn w:val="DefaultParagraphFont"/>
    <w:uiPriority w:val="99"/>
    <w:unhideWhenUsed/>
    <w:rsid w:val="005E4B9A"/>
    <w:rPr>
      <w:color w:val="0563C1" w:themeColor="hyperlink"/>
      <w:u w:val="single"/>
    </w:rPr>
  </w:style>
  <w:style w:type="character" w:customStyle="1" w:styleId="UnresolvedMention">
    <w:name w:val="Unresolved Mention"/>
    <w:basedOn w:val="DefaultParagraphFont"/>
    <w:uiPriority w:val="99"/>
    <w:semiHidden/>
    <w:unhideWhenUsed/>
    <w:rsid w:val="005E4B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srn.com/abstract=2827285" TargetMode="External" /><Relationship Id="rId5" Type="http://schemas.openxmlformats.org/officeDocument/2006/relationships/hyperlink" Target="https://dx.doi.org/10.2139/ssrn.2827285"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4</Pages>
  <Words>688</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Felix Oluoch</cp:lastModifiedBy>
  <cp:revision>78</cp:revision>
  <dcterms:created xsi:type="dcterms:W3CDTF">2020-01-16T07:18:00Z</dcterms:created>
  <dcterms:modified xsi:type="dcterms:W3CDTF">2020-01-16T11:06:00Z</dcterms:modified>
</cp:coreProperties>
</file>